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042" w:rsidRPr="009140C4" w:rsidRDefault="00104042" w:rsidP="00104042">
      <w:pPr>
        <w:autoSpaceDE w:val="0"/>
        <w:adjustRightInd w:val="0"/>
        <w:spacing w:line="277" w:lineRule="auto"/>
        <w:jc w:val="center"/>
        <w:rPr>
          <w:b/>
          <w:color w:val="000000"/>
        </w:rPr>
      </w:pPr>
      <w:r>
        <w:rPr>
          <w:noProof/>
          <w:lang w:eastAsia="pl-PL"/>
        </w:rPr>
        <w:drawing>
          <wp:inline distT="0" distB="0" distL="0" distR="0">
            <wp:extent cx="5762625" cy="11430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042" w:rsidRPr="009140C4" w:rsidRDefault="00104042" w:rsidP="00104042">
      <w:pPr>
        <w:pStyle w:val="NormalnyWeb"/>
        <w:spacing w:before="0" w:beforeAutospacing="0" w:after="0" w:line="277" w:lineRule="auto"/>
        <w:jc w:val="center"/>
        <w:rPr>
          <w:bCs/>
          <w:iCs/>
          <w:sz w:val="20"/>
        </w:rPr>
      </w:pPr>
      <w:r w:rsidRPr="009140C4">
        <w:rPr>
          <w:bCs/>
          <w:iCs/>
          <w:sz w:val="20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 w:rsidRPr="009140C4">
        <w:rPr>
          <w:bCs/>
          <w:iCs/>
          <w:sz w:val="20"/>
        </w:rPr>
        <w:t>Interreg</w:t>
      </w:r>
      <w:proofErr w:type="spellEnd"/>
      <w:r w:rsidRPr="009140C4">
        <w:rPr>
          <w:bCs/>
          <w:iCs/>
          <w:sz w:val="20"/>
        </w:rPr>
        <w:t xml:space="preserve"> NEXT Polska-Ukraina 2021-2027 </w:t>
      </w:r>
      <w:r w:rsidRPr="00686623">
        <w:rPr>
          <w:bCs/>
          <w:iCs/>
          <w:sz w:val="20"/>
        </w:rPr>
        <w:t>(</w:t>
      </w:r>
      <w:r w:rsidR="00686623" w:rsidRPr="00686623">
        <w:rPr>
          <w:color w:val="000000"/>
          <w:sz w:val="20"/>
        </w:rPr>
        <w:t>PLUA.02.01-IP.01-0003/24</w:t>
      </w:r>
      <w:r w:rsidRPr="00686623">
        <w:rPr>
          <w:bCs/>
          <w:iCs/>
          <w:sz w:val="20"/>
        </w:rPr>
        <w:t xml:space="preserve">) </w:t>
      </w:r>
    </w:p>
    <w:p w:rsidR="00104042" w:rsidRPr="00104042" w:rsidRDefault="00104042" w:rsidP="00104042">
      <w:pPr>
        <w:spacing w:line="280" w:lineRule="exact"/>
        <w:jc w:val="right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>Załącznik nr 2.1 do SWZ - Formularz asortymentowo - cenowy</w:t>
      </w:r>
    </w:p>
    <w:p w:rsidR="00104042" w:rsidRPr="00104042" w:rsidRDefault="00104042" w:rsidP="00104042">
      <w:pPr>
        <w:spacing w:line="280" w:lineRule="exact"/>
        <w:jc w:val="right"/>
        <w:rPr>
          <w:rFonts w:ascii="Times New Roman" w:eastAsia="Andale Sans UI" w:hAnsi="Times New Roman" w:cs="Times New Roman"/>
          <w:sz w:val="20"/>
          <w:szCs w:val="20"/>
          <w:lang w:bidi="en-US"/>
        </w:rPr>
      </w:pPr>
      <w:r w:rsidRPr="00104042">
        <w:rPr>
          <w:rFonts w:ascii="Times New Roman" w:eastAsia="Andale Sans UI" w:hAnsi="Times New Roman" w:cs="Times New Roman"/>
          <w:sz w:val="20"/>
          <w:szCs w:val="20"/>
          <w:lang w:bidi="en-US"/>
        </w:rPr>
        <w:t>oznaczenie postępowania: DA.ZP.242.</w:t>
      </w:r>
      <w:r>
        <w:rPr>
          <w:rFonts w:ascii="Times New Roman" w:eastAsia="Andale Sans UI" w:hAnsi="Times New Roman" w:cs="Times New Roman"/>
          <w:sz w:val="20"/>
          <w:szCs w:val="20"/>
          <w:lang w:bidi="en-US"/>
        </w:rPr>
        <w:t>9</w:t>
      </w:r>
      <w:r w:rsidRPr="00104042">
        <w:rPr>
          <w:rFonts w:ascii="Times New Roman" w:eastAsia="Andale Sans UI" w:hAnsi="Times New Roman" w:cs="Times New Roman"/>
          <w:sz w:val="20"/>
          <w:szCs w:val="20"/>
          <w:lang w:bidi="en-US"/>
        </w:rPr>
        <w:t>.202</w:t>
      </w:r>
      <w:r>
        <w:rPr>
          <w:rFonts w:ascii="Times New Roman" w:eastAsia="Andale Sans UI" w:hAnsi="Times New Roman" w:cs="Times New Roman"/>
          <w:sz w:val="20"/>
          <w:szCs w:val="20"/>
          <w:lang w:bidi="en-US"/>
        </w:rPr>
        <w:t>6</w:t>
      </w: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>Pakiet nr  1</w:t>
      </w:r>
    </w:p>
    <w:p w:rsidR="00104042" w:rsidRPr="00104042" w:rsidRDefault="00104042" w:rsidP="00104042">
      <w:pPr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 xml:space="preserve">CZĘŚĆ I   - Szczegółowa Oferta Cenowa </w:t>
      </w: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1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"/>
        <w:gridCol w:w="5644"/>
        <w:gridCol w:w="1417"/>
        <w:gridCol w:w="1843"/>
        <w:gridCol w:w="1843"/>
        <w:gridCol w:w="1275"/>
        <w:gridCol w:w="1843"/>
      </w:tblGrid>
      <w:tr w:rsidR="00104042" w:rsidRPr="00104042" w:rsidTr="00E10200">
        <w:trPr>
          <w:trHeight w:val="76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jednostkowa netto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netto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VAT (%)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Wartość brutto </w:t>
            </w:r>
          </w:p>
        </w:tc>
      </w:tr>
      <w:tr w:rsidR="00104042" w:rsidRPr="00104042" w:rsidTr="00E10200">
        <w:trPr>
          <w:trHeight w:val="1089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Aparat USG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042" w:rsidRPr="00104042" w:rsidTr="00E10200">
        <w:trPr>
          <w:trHeight w:val="76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Cena ofertowa  (wartość brutto należy przenieś do formularza ogólnego - załącznik nr 1 do SWZ)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4042" w:rsidRPr="00104042" w:rsidRDefault="00104042" w:rsidP="00104042">
            <w:p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tabs>
          <w:tab w:val="right" w:pos="10773"/>
        </w:tabs>
        <w:spacing w:line="28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04042" w:rsidRPr="00104042" w:rsidRDefault="00104042" w:rsidP="00104042">
      <w:pPr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  <w:r w:rsidRPr="00104042">
        <w:rPr>
          <w:rFonts w:ascii="Times New Roman" w:hAnsi="Times New Roman" w:cs="Times New Roman"/>
          <w:b/>
          <w:sz w:val="20"/>
          <w:szCs w:val="20"/>
        </w:rPr>
        <w:t>CZĘŚĆ II   -  Opis parametrów</w:t>
      </w:r>
    </w:p>
    <w:p w:rsidR="00104042" w:rsidRPr="00104042" w:rsidRDefault="00104042" w:rsidP="00104042">
      <w:pPr>
        <w:pStyle w:val="Standard"/>
        <w:spacing w:line="280" w:lineRule="exac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9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5394"/>
        <w:gridCol w:w="2551"/>
        <w:gridCol w:w="6206"/>
      </w:tblGrid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 parametrów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62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Parametr oferowany: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hAnsi="Times New Roman" w:cs="Times New Roman"/>
                <w:b/>
                <w:sz w:val="20"/>
                <w:szCs w:val="20"/>
              </w:rPr>
              <w:t>należy opisać/ podać</w:t>
            </w: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keepNext/>
              <w:widowControl w:val="0"/>
              <w:tabs>
                <w:tab w:val="left" w:pos="0"/>
              </w:tabs>
              <w:spacing w:line="280" w:lineRule="exact"/>
              <w:jc w:val="center"/>
              <w:outlineLvl w:val="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</w:pPr>
            <w:r w:rsidRPr="0010404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b/>
                <w:bCs/>
                <w:i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104042" w:rsidRPr="00104042" w:rsidTr="00E10200">
        <w:trPr>
          <w:cantSplit/>
          <w:jc w:val="center"/>
        </w:trPr>
        <w:tc>
          <w:tcPr>
            <w:tcW w:w="149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Aparat USG 1 </w:t>
            </w:r>
            <w:proofErr w:type="spellStart"/>
            <w:r w:rsidRPr="0010404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szt</w:t>
            </w:r>
            <w:proofErr w:type="spellEnd"/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</w:rPr>
              <w:t>Oferowany typ/model:……………………………………………………………………..</w:t>
            </w:r>
            <w:r w:rsidRPr="00104042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Producent:……………………………………………………………………………….....</w:t>
            </w:r>
          </w:p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</w:rPr>
              <w:t>Rok produkcji: ……………………………………………………………………………… (nie starszy niż 2025r.)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Przewoźny  aparat  ultrasonograficzny  z pełną regulacją w formie panelu dotykowego wraz ze stolikiem jezdnym  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Stolik  jezdny: 4 koła skrętne 360 stopni, z możliwością blokady wszystkich kół, ze zmianą wysokością, wyposażony w półki na akcesoria, oraz zasilacz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Aparat fabrycznie nowy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Zakres pasma częstotliwości pracy aparatu: min. 2 - 22 MHz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Waga  max. 65 kg wraz z podstawą jezdną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Aparat przewoźny z możliwością pracy z akumulatora. Czas pracy z w pełni naładowanego akumulatora min. 2 godz.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Ilość gniazd głowic obrazowych wbudowanych w aparat, przełączanych elektronicznie min. 4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paragraph"/>
              <w:spacing w:before="0" w:after="0"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Gotowość do pracy po włączeniu aparatu ze stanu całkowitego wyłączenia max. 40s.</w:t>
            </w:r>
          </w:p>
          <w:p w:rsidR="00104042" w:rsidRPr="00104042" w:rsidRDefault="00104042" w:rsidP="00104042">
            <w:pPr>
              <w:pStyle w:val="paragraph"/>
              <w:spacing w:before="0" w:after="0"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Gotowość do pracy po włączeniu aparatu ze stanu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standby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 max. 6s.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Ilość niezależnych kanałów procesowych min. 60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 </w:t>
            </w: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000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trHeight w:val="1220"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Moduł edukacyjny który podaje użytkownikowi wskazówki w formie graficznej dotyczące: właściwego ułożenia sondy diagnostycznej, pożądanego obrazu ultrasonograficznego, wzorcowego obrazu anatomicznego z jednoczesną możliwością podglądu obrazu na żywo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ARCHIWIZACJA I PRZESYŁANIE OBRAZÓW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Nagrywanie i odtwarzanie dynamicznych obrazów /tzw.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cineloop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 prezentacji B oraz kolor Doppler, prezentacji M-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mode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 i Dopplera spektralnego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Ilość klatek pamięci CINE min. 63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 </w:t>
            </w: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570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Zapis obrazów i raportów z badań na pamięci wewnętrznej aparatu.</w:t>
            </w:r>
          </w:p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Pojemność dysku twardego SSD min. 250 GB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Możliwość archiwizacji danych pacjenta z przypisanymi obrazami statycznymi i dynamicznymi wraz z możliwością eksportu danych w trybach: TIFF, BMP, JPG, AVI.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Gniazda USB 3.0 do podłączania urządzeń zewnętrznych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Wyjście HDMI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Możliwość ustawienia menu w języku polskim i polskie znaki w opisach oraz komentarzach do raportu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Możliwość zapisu danych na urządzenia typu PEN-DRIVE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Bezprzewodowa łączność z siecią za pomocą wewnętrznej karty Wi-Fi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MONITOR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Kolorowy typu LCD w pełni dotykowy z możliwością zmiany orientacji pionowej lub poziomej wraz z automatycznym obrotem obrazu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Przekątna ekranu min. 23" (podać)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Rozdzielczość monitora min. 1920 x 1080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Regulacja parametrów obrazowania i pozostała obsługa na ekranie monitora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51" w:type="dxa"/>
            <w:gridSpan w:val="3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TRYBY OBRAZOWANIA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  <w:t xml:space="preserve">Tryb B –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  <w:t>Mode</w:t>
            </w:r>
            <w:proofErr w:type="spellEnd"/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Powiększenie obrazu rzeczywistego i zamrożonego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Powiększenie obrazu diagnostycznego na pełny ekran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Obrazowanie harmoniczne na wszystkich oferowanych głowicach z wykorzystaniem przesunięcia lub inwersji faz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104042">
        <w:trPr>
          <w:cantSplit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Technologia wzmocnienia kontrastu tkanek oraz zmniejszenia plamek i wyostrzenia krawędzi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Przestrzenne składanie obrazów (obrazowanie wielokierunkowe pod kilkoma kątami w czasie rzeczywistym)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Zakres ustawienia głębokości penetracji min. 2 – 40 cm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spacing w:line="280" w:lineRule="exact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Zakres dynamiki dla obrazu 2D wyświetlany na ekranie</w:t>
            </w:r>
          </w:p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min. 230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dB</w:t>
            </w:r>
            <w:proofErr w:type="spellEnd"/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spacing w:line="280" w:lineRule="exact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Maksymalna prędkość odświeżania w trybie 2D</w:t>
            </w:r>
          </w:p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 xml:space="preserve">min. 2000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obr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./sek.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Kompensacja głębokościowa (pozioma) wzmocnienia – min. 8 stref (TGC)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 xml:space="preserve">Tryb M –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>Mode</w:t>
            </w:r>
            <w:proofErr w:type="spellEnd"/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Wybór prędkości przesuwu zapisu trybu M min. 6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Anatomiczny M-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Mode</w:t>
            </w:r>
            <w:proofErr w:type="spellEnd"/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>Tryb Doppler Kolorowy (CD)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Ugięcie pola obrazowego Dopplera kolorowego min. 30 stopni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spacing w:line="280" w:lineRule="exact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Maksymalna prędkość odświeżania w trybie CD</w:t>
            </w:r>
          </w:p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 xml:space="preserve">min. 400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obr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./sek.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Ilość map kolorów min. 20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  <w:lang w:eastAsia="zh-CN" w:bidi="hi-IN"/>
              </w:rPr>
              <w:t>Automatyczne podążanie pola Dopplera kolorowego za naczyniem w dopplerowskich badaniach naczyniowych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>Tryb Power Doppler (PD)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Tryb Power Doppler kierunkowy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  <w:t>Tryb spektralny Doppler pulsacyjny (PW)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Maksymalna mierzona prędkość przepływu przy kącie korekcji 0⁰ min. 8,0 m/sek.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Regulacja wielkości bramki dopplerowskiej min. 0,5 – 20 mm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Kąt korekcji bramki dopplerowskiej min. 0 do +/-85 stopni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Tryb spektralny Doppler ciągły (CW)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Maksymalna mierzona prędkość przepływu przy kącie korekcji 0⁰ min. 30,0 m/sek.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  <w:t xml:space="preserve">Automatyczna optymalizacja obrazu za pomocą jednego przycisku w trybie B-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  <w:t>Mode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  <w:t xml:space="preserve"> i Dopplera spektralnego</w:t>
            </w:r>
          </w:p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</w:p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>OPROGRAMOWANIE POMIAROWE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Oprogramowanie aparatu /programy obliczeniowe i raporty/: j. brzuszna, kardiologia, ginekologia, położnictwo, naczynia, małe i powierzchowne narządy, urologia, nerwy, mięśniowo-szkieletowe i inne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Pakiet obliczeń automatycznych dla Dopplera – automatyczny obrys spektrum wraz z podaniem podstawowych parametrów przepływu (min. PI, RI,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Vmax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.,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Vmin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. I inne) zarówno na obrazie rzeczywistym, jak i na obrazie zamrożonym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Możliwość przesyłania raportów w formatach PDF i RTF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Automatyczny pomiar IVC z możliwością prezentacji wyników w formie wykresu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Automatyczny pomiar linii B wraz z automatycznym przedstawieniem w formie koloru stopienia nasilenia procesu chorobowego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Automatyczny pomiar frakcji wyrzutowej za pomocą jednego przycisku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Doppler Tkankowy TDI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Oprogramowanie do wizualizacji igły z wyświetlaniem wartości kąta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>GŁOWICE ULTRADŹWIĘK</w:t>
            </w:r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  <w:t>OWE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 xml:space="preserve">Głowica wieloczęstotliwościowa elektroniczna sektorowa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>phasedarray</w:t>
            </w:r>
            <w:proofErr w:type="spellEnd"/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Częstotliwość pracy sondy min. 1,0 – 5,0 MHz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Ilość elementów min.80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Kąt pola obrazowego głowicy min. 90 stopni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Centralne częstotliwości pracy do wyboru dla B-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mode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Częstotliwości nadawcze pracy do wyboru dla obrazowania harmonicznego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Głębokość obrazowania min. 35cm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Głowica wieloczęstotliwościowa elektroniczna liniowa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Częstotliwość pracy sondy min. 3,0 -14,0 MHz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Ilość elementów min.200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Długość pola obrazowego głowicy  min 50 mm +/- 3mm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Centralne częstotliwości pracy do wyboru dla B-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mode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Częstotliwości nadawcze pracy do wyboru dla obrazowania harmonicznego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Głębokość obrazowania min. 35 cm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sz w:val="20"/>
                <w:szCs w:val="20"/>
                <w:lang w:eastAsia="zh-CN" w:bidi="hi-IN"/>
              </w:rPr>
              <w:t xml:space="preserve">Wieloczęstotliwościowy </w:t>
            </w: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 xml:space="preserve">elektroniczny przetwornik typu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zh-CN" w:bidi="hi-IN"/>
              </w:rPr>
              <w:t>convex</w:t>
            </w:r>
            <w:proofErr w:type="spellEnd"/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Częstotliwość pracy sondy min. 1,0 – 6,0 MHz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Ilość elementów min.120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Kąt pola obrazowego głowicy min. 59 stopni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Centralne częstotliwości pracy do wyboru dla B-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mode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Częstotliwości nadawcze pracy do wyboru dla obrazowania harmonicznego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Głębokość obrazowania min. 40 cm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MOŻLIWOŚCI ROZBUDOWY NA DZIEŃ SKŁADANIA OFERT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  <w:t>Możliwość głosowego sterowania aparatem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  <w:t>Głowica wieloczęstotliwościowa elektroniczna liniowa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Częstotliwość pracy sondy min. 6,0 -22,0 MHz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Ilość elementów min.190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Długość pola obrazowego głowicy max. 30 mm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Centralne częstotliwości pracy do wyboru dla B-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mode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 xml:space="preserve">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Częstotliwości nadawcze pracy do wyboru dla obrazowania harmonicznego min. 3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  <w:t>Głębokość obrazowania min. 25 cm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Możliwość podłączenia głowic: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endocavitarnej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, liniowych,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microconvex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, przezprzełykowej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Praca w sieci w standardzie DICOM, min: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Print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, Storage, Storage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Commitment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Worklist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, Query/</w:t>
            </w:r>
            <w:proofErr w:type="spellStart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Retrieve</w:t>
            </w:r>
            <w:proofErr w:type="spellEnd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, MPPS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Automatyczny pomiar objętości pęcherza moczowego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numPr>
                <w:ilvl w:val="0"/>
                <w:numId w:val="1"/>
              </w:numPr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</w:rPr>
              <w:t>Automatyczny pomiar powierzchni żołądka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101.</w:t>
            </w: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Gwarancja min. 10–letniego dostępu do części zamiennych, materiałów eksploatacyjnych i akcesoriów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04042" w:rsidRPr="00104042" w:rsidTr="00E10200">
        <w:trPr>
          <w:cantSplit/>
          <w:jc w:val="center"/>
        </w:trPr>
        <w:tc>
          <w:tcPr>
            <w:tcW w:w="8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104042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102.</w:t>
            </w:r>
          </w:p>
        </w:tc>
        <w:tc>
          <w:tcPr>
            <w:tcW w:w="5394" w:type="dxa"/>
            <w:tcBorders>
              <w:left w:val="single" w:sz="2" w:space="0" w:color="000000"/>
              <w:bottom w:val="sing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</w:pPr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>Gwarancja aktualizacji oprogramowania do najnowszej, dostępnej wersji na rynku przez</w:t>
            </w:r>
            <w:r w:rsidR="00362916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 trwania gwarancji</w:t>
            </w:r>
            <w:bookmarkStart w:id="0" w:name="_GoBack"/>
            <w:bookmarkEnd w:id="0"/>
            <w:r w:rsidRPr="00104042">
              <w:rPr>
                <w:rFonts w:ascii="Times New Roman" w:eastAsia="Arial Unicode MS" w:hAnsi="Times New Roman" w:cs="Times New Roman"/>
                <w:sz w:val="20"/>
                <w:szCs w:val="20"/>
                <w:lang w:eastAsia="zh-CN"/>
              </w:rPr>
              <w:t xml:space="preserve"> od dnia odbioru, podczas każdego, wykonywanego przeglądu</w:t>
            </w:r>
          </w:p>
          <w:p w:rsidR="00104042" w:rsidRPr="00104042" w:rsidRDefault="00104042" w:rsidP="00104042">
            <w:pPr>
              <w:pStyle w:val="Standard"/>
              <w:spacing w:line="280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104042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TAK, podać</w:t>
            </w:r>
          </w:p>
        </w:tc>
        <w:tc>
          <w:tcPr>
            <w:tcW w:w="6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4042" w:rsidRPr="00104042" w:rsidRDefault="00104042" w:rsidP="00104042">
            <w:pPr>
              <w:pStyle w:val="Standard"/>
              <w:spacing w:line="280" w:lineRule="exact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104042" w:rsidRDefault="00104042" w:rsidP="00104042">
      <w:pPr>
        <w:pStyle w:val="Standard"/>
        <w:autoSpaceDE w:val="0"/>
        <w:jc w:val="both"/>
      </w:pPr>
    </w:p>
    <w:p w:rsidR="00886B3F" w:rsidRPr="008E6D1E" w:rsidRDefault="008E6D1E" w:rsidP="008E6D1E">
      <w:pPr>
        <w:spacing w:line="28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8E6D1E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Wykonawca gwarantuje niniejszym, że powyżej wyspecyfikowane urządzenie jest zgodne z wymogami SWZ, sprzęt jest fabrycznie nowy, nieużywany, kompletny, i do jego stosowania zgodnie z przeznaczeniem nie jest konieczny zakup dodatkowych elementów i akcesoriów</w:t>
      </w:r>
    </w:p>
    <w:sectPr w:rsidR="00886B3F" w:rsidRPr="008E6D1E" w:rsidSect="00104042"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64" w:rsidRDefault="00166764" w:rsidP="00104042">
      <w:r>
        <w:separator/>
      </w:r>
    </w:p>
  </w:endnote>
  <w:endnote w:type="continuationSeparator" w:id="0">
    <w:p w:rsidR="00166764" w:rsidRDefault="00166764" w:rsidP="0010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orbel"/>
    <w:charset w:val="00"/>
    <w:family w:val="swiss"/>
    <w:pitch w:val="variable"/>
    <w:sig w:usb0="00000001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4767079"/>
      <w:docPartObj>
        <w:docPartGallery w:val="Page Numbers (Bottom of Page)"/>
        <w:docPartUnique/>
      </w:docPartObj>
    </w:sdtPr>
    <w:sdtEndPr/>
    <w:sdtContent>
      <w:p w:rsidR="00104042" w:rsidRDefault="001040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916">
          <w:rPr>
            <w:noProof/>
          </w:rPr>
          <w:t>10</w:t>
        </w:r>
        <w:r>
          <w:fldChar w:fldCharType="end"/>
        </w:r>
      </w:p>
    </w:sdtContent>
  </w:sdt>
  <w:p w:rsidR="00104042" w:rsidRDefault="001040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64" w:rsidRDefault="00166764" w:rsidP="00104042">
      <w:r>
        <w:separator/>
      </w:r>
    </w:p>
  </w:footnote>
  <w:footnote w:type="continuationSeparator" w:id="0">
    <w:p w:rsidR="00166764" w:rsidRDefault="00166764" w:rsidP="00104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3E03"/>
    <w:multiLevelType w:val="multilevel"/>
    <w:tmpl w:val="94A85D72"/>
    <w:styleLink w:val="WWNum15"/>
    <w:lvl w:ilvl="0">
      <w:start w:val="1"/>
      <w:numFmt w:val="decimal"/>
      <w:lvlText w:val="%1."/>
      <w:lvlJc w:val="left"/>
      <w:rPr>
        <w:rFonts w:cs="Times New Roman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3401469F"/>
    <w:multiLevelType w:val="multilevel"/>
    <w:tmpl w:val="0936B9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Fira Sans" w:eastAsia="Times New Roman" w:hAnsi="Fira Sans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87"/>
    <w:rsid w:val="00104042"/>
    <w:rsid w:val="00166764"/>
    <w:rsid w:val="00362916"/>
    <w:rsid w:val="005C7387"/>
    <w:rsid w:val="005F6CCB"/>
    <w:rsid w:val="00686623"/>
    <w:rsid w:val="00886B3F"/>
    <w:rsid w:val="008E6D1E"/>
    <w:rsid w:val="00A30B63"/>
    <w:rsid w:val="00A65EEA"/>
    <w:rsid w:val="00AF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10404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104042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104042"/>
    <w:pPr>
      <w:spacing w:before="28" w:after="28"/>
    </w:pPr>
  </w:style>
  <w:style w:type="numbering" w:customStyle="1" w:styleId="WWNum15">
    <w:name w:val="WWNum15"/>
    <w:basedOn w:val="Bezlisty"/>
    <w:rsid w:val="00104042"/>
    <w:pPr>
      <w:numPr>
        <w:numId w:val="1"/>
      </w:numPr>
    </w:pPr>
  </w:style>
  <w:style w:type="paragraph" w:styleId="NormalnyWeb">
    <w:name w:val="Normal (Web)"/>
    <w:basedOn w:val="Normalny"/>
    <w:link w:val="NormalnyWebZnak"/>
    <w:uiPriority w:val="99"/>
    <w:qFormat/>
    <w:rsid w:val="0010404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10404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0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042"/>
    <w:rPr>
      <w:rFonts w:ascii="Tahoma" w:eastAsia="SimSun" w:hAnsi="Tahoma" w:cs="Tahoma"/>
      <w:kern w:val="3"/>
      <w:sz w:val="16"/>
      <w:szCs w:val="16"/>
    </w:rPr>
  </w:style>
  <w:style w:type="paragraph" w:styleId="Akapitzlist">
    <w:name w:val="List Paragraph"/>
    <w:aliases w:val="Numerowanie,Akapit z listą BS,Kolorowa lista — akcent 11,sw tekst"/>
    <w:basedOn w:val="Normalny"/>
    <w:link w:val="AkapitzlistZnak"/>
    <w:uiPriority w:val="34"/>
    <w:qFormat/>
    <w:rsid w:val="00104042"/>
    <w:pPr>
      <w:widowControl/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sw tekst Znak"/>
    <w:link w:val="Akapitzlist"/>
    <w:uiPriority w:val="34"/>
    <w:qFormat/>
    <w:locked/>
    <w:rsid w:val="001040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40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4042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1040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4042"/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104042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104042"/>
    <w:pPr>
      <w:autoSpaceDN w:val="0"/>
      <w:spacing w:after="0" w:line="240" w:lineRule="auto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pl-PL"/>
    </w:rPr>
  </w:style>
  <w:style w:type="paragraph" w:customStyle="1" w:styleId="paragraph">
    <w:name w:val="paragraph"/>
    <w:basedOn w:val="Standard"/>
    <w:rsid w:val="00104042"/>
    <w:pPr>
      <w:spacing w:before="28" w:after="28"/>
    </w:pPr>
  </w:style>
  <w:style w:type="numbering" w:customStyle="1" w:styleId="WWNum15">
    <w:name w:val="WWNum15"/>
    <w:basedOn w:val="Bezlisty"/>
    <w:rsid w:val="00104042"/>
    <w:pPr>
      <w:numPr>
        <w:numId w:val="1"/>
      </w:numPr>
    </w:pPr>
  </w:style>
  <w:style w:type="paragraph" w:styleId="NormalnyWeb">
    <w:name w:val="Normal (Web)"/>
    <w:basedOn w:val="Normalny"/>
    <w:link w:val="NormalnyWebZnak"/>
    <w:uiPriority w:val="99"/>
    <w:qFormat/>
    <w:rsid w:val="00104042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sz w:val="24"/>
      <w:szCs w:val="20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10404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04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042"/>
    <w:rPr>
      <w:rFonts w:ascii="Tahoma" w:eastAsia="SimSun" w:hAnsi="Tahoma" w:cs="Tahoma"/>
      <w:kern w:val="3"/>
      <w:sz w:val="16"/>
      <w:szCs w:val="16"/>
    </w:rPr>
  </w:style>
  <w:style w:type="paragraph" w:styleId="Akapitzlist">
    <w:name w:val="List Paragraph"/>
    <w:aliases w:val="Numerowanie,Akapit z listą BS,Kolorowa lista — akcent 11,sw tekst"/>
    <w:basedOn w:val="Normalny"/>
    <w:link w:val="AkapitzlistZnak"/>
    <w:uiPriority w:val="34"/>
    <w:qFormat/>
    <w:rsid w:val="00104042"/>
    <w:pPr>
      <w:widowControl/>
      <w:suppressAutoHyphens w:val="0"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kapitzlistZnak">
    <w:name w:val="Akapit z listą Znak"/>
    <w:aliases w:val="Numerowanie Znak,Akapit z listą BS Znak,Kolorowa lista — akcent 11 Znak,sw tekst Znak"/>
    <w:link w:val="Akapitzlist"/>
    <w:uiPriority w:val="34"/>
    <w:qFormat/>
    <w:locked/>
    <w:rsid w:val="0010404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040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4042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1040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4042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1304</Words>
  <Characters>7826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7</cp:revision>
  <cp:lastPrinted>2026-03-09T09:30:00Z</cp:lastPrinted>
  <dcterms:created xsi:type="dcterms:W3CDTF">2026-03-04T07:21:00Z</dcterms:created>
  <dcterms:modified xsi:type="dcterms:W3CDTF">2026-03-09T09:30:00Z</dcterms:modified>
</cp:coreProperties>
</file>